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C5" w:rsidRPr="00981C0F" w:rsidRDefault="005364C5">
      <w:pPr>
        <w:jc w:val="right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УДК 62-758:624.05:006.354                                                                                       ГОСТ 23407-78</w:t>
      </w:r>
    </w:p>
    <w:p w:rsidR="005364C5" w:rsidRPr="00981C0F" w:rsidRDefault="005364C5">
      <w:pPr>
        <w:jc w:val="right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jc w:val="right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Группа Ж07</w:t>
      </w:r>
    </w:p>
    <w:p w:rsidR="005364C5" w:rsidRPr="00981C0F" w:rsidRDefault="005364C5">
      <w:pPr>
        <w:jc w:val="right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ГОСУДАРСТВЕННЫЙ СТАНДАРТ СОЮЗА ССР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Ограждения инвентарные строительных площадок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 xml:space="preserve">и участков производства строительно-монтажных работ </w:t>
      </w:r>
    </w:p>
    <w:p w:rsidR="005364C5" w:rsidRPr="00981C0F" w:rsidRDefault="005364C5">
      <w:pPr>
        <w:pStyle w:val="Preformat"/>
        <w:rPr>
          <w:rFonts w:ascii="Times New Roman" w:hAnsi="Times New Roman"/>
          <w:color w:val="000000"/>
        </w:rPr>
      </w:pP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  <w:lang w:val="en-US"/>
        </w:rPr>
      </w:pPr>
      <w:r w:rsidRPr="00981C0F">
        <w:rPr>
          <w:rFonts w:ascii="Times New Roman" w:hAnsi="Times New Roman"/>
          <w:color w:val="000000"/>
          <w:sz w:val="20"/>
        </w:rPr>
        <w:t>Технические</w:t>
      </w:r>
      <w:r w:rsidRPr="00981C0F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Pr="00981C0F">
        <w:rPr>
          <w:rFonts w:ascii="Times New Roman" w:hAnsi="Times New Roman"/>
          <w:color w:val="000000"/>
          <w:sz w:val="20"/>
        </w:rPr>
        <w:t>условия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  <w:lang w:val="en-US"/>
        </w:rPr>
      </w:pP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  <w:lang w:val="en-US"/>
        </w:rPr>
      </w:pPr>
      <w:r w:rsidRPr="00981C0F">
        <w:rPr>
          <w:rFonts w:ascii="Times New Roman" w:hAnsi="Times New Roman"/>
          <w:color w:val="000000"/>
          <w:sz w:val="20"/>
          <w:lang w:val="en-US"/>
        </w:rPr>
        <w:t>Fencings for building sites.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Specification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jc w:val="right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Дата введения 1979-07-01</w:t>
      </w:r>
    </w:p>
    <w:p w:rsidR="005364C5" w:rsidRPr="00981C0F" w:rsidRDefault="005364C5">
      <w:pPr>
        <w:jc w:val="right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jc w:val="right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РАЗРАБОТАН Государственным комитетом СССР по делам строительства</w:t>
      </w:r>
    </w:p>
    <w:p w:rsidR="005364C5" w:rsidRPr="00981C0F" w:rsidRDefault="005364C5">
      <w:pPr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Главным архитектурно-планировочным управлением г. Москвы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ИСПОЛНИТЕЛИ</w:t>
      </w:r>
    </w:p>
    <w:p w:rsidR="005364C5" w:rsidRPr="00981C0F" w:rsidRDefault="005364C5">
      <w:pPr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И. В. Степанов (руководитель темы); В. И. Троицкая; В. В. Акимов; А. Е. Михайлов; Е. М. Смычков; Н. М. Гаврюшин; В. Я. Кац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ВНЕСЕН Государственным комитетом СССР по делам строительства</w:t>
      </w:r>
    </w:p>
    <w:p w:rsidR="005364C5" w:rsidRPr="00981C0F" w:rsidRDefault="005364C5">
      <w:pPr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Член Коллегии В. И. Сычев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 xml:space="preserve">УТВЕРЖДЕН и ВВЕДЕН в ДЕЙСТВИЕ Постановлением  Государственного комитета СССР по делам строительства от 13 декабря  1978  года  N  232 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Настоящий стандарт распространяется на инвентарные ограждения, предназначенные для выделения территорий строительных площадок и участков производства строительно-монтажных работ.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Стандарт не распространяется на инвентарные ограждения: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предназначенные для предотвращения падения людей с высоты при возведении различных зданий и сооружений;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устанавливаемые для выделения зон строительства, охраняемых по условиям специального режима.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1. КЛАССИФИКАЦИЯ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1.1. Ограждения по функциональному назначению подразделяются на: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 xml:space="preserve">защитно-охранные </w:t>
      </w:r>
      <w:r w:rsidRPr="00981C0F">
        <w:rPr>
          <w:rFonts w:ascii="Times New Roman" w:hAnsi="Times New Roman"/>
          <w:color w:val="000000"/>
          <w:sz w:val="20"/>
        </w:rPr>
        <w:sym w:font="Symbol" w:char="F0BE"/>
      </w:r>
      <w:r w:rsidRPr="00981C0F">
        <w:rPr>
          <w:rFonts w:ascii="Times New Roman" w:hAnsi="Times New Roman"/>
          <w:color w:val="000000"/>
          <w:sz w:val="20"/>
        </w:rPr>
        <w:t xml:space="preserve"> предназначенные для предотвращения доступа посторонних лиц на территории и участки с опасными и вредными производственными факторами и обеспечения охраны материальных ценностей строительства;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 xml:space="preserve">защитные </w:t>
      </w:r>
      <w:r w:rsidRPr="00981C0F">
        <w:rPr>
          <w:rFonts w:ascii="Times New Roman" w:hAnsi="Times New Roman"/>
          <w:color w:val="000000"/>
          <w:sz w:val="20"/>
        </w:rPr>
        <w:sym w:font="Symbol" w:char="F0BE"/>
      </w:r>
      <w:r w:rsidRPr="00981C0F">
        <w:rPr>
          <w:rFonts w:ascii="Times New Roman" w:hAnsi="Times New Roman"/>
          <w:color w:val="000000"/>
          <w:sz w:val="20"/>
        </w:rPr>
        <w:t xml:space="preserve"> предназначенные для предотвращения доступа посторонних лиц на территории и участки с опасными и вредными производственными факторами;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 xml:space="preserve">сигнальные </w:t>
      </w:r>
      <w:r w:rsidRPr="00981C0F">
        <w:rPr>
          <w:rFonts w:ascii="Times New Roman" w:hAnsi="Times New Roman"/>
          <w:color w:val="000000"/>
          <w:sz w:val="20"/>
        </w:rPr>
        <w:sym w:font="Symbol" w:char="F0BE"/>
      </w:r>
      <w:r w:rsidRPr="00981C0F">
        <w:rPr>
          <w:rFonts w:ascii="Times New Roman" w:hAnsi="Times New Roman"/>
          <w:color w:val="000000"/>
          <w:sz w:val="20"/>
        </w:rPr>
        <w:t xml:space="preserve"> предназначенные для предупреждения о границах территорий и участков с опасными и вредными производственными факторами.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1.2. Ограждения по конструктивному решению подразделяются на панельные, панельно-стоечные и стоечные (черт. 1, а, б, в).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center"/>
        <w:rPr>
          <w:rFonts w:ascii="Times New Roman" w:hAnsi="Times New Roman"/>
          <w:b/>
          <w:color w:val="000000"/>
          <w:sz w:val="20"/>
        </w:rPr>
      </w:pPr>
      <w:r w:rsidRPr="00981C0F">
        <w:rPr>
          <w:rFonts w:ascii="Times New Roman" w:hAnsi="Times New Roman"/>
          <w:b/>
          <w:color w:val="000000"/>
          <w:sz w:val="20"/>
        </w:rPr>
        <w:lastRenderedPageBreak/>
        <w:t>СХЕМЫ ОГРАЖДЕНИЙ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Панельно-стоечные ограждения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pStyle w:val="Preformat"/>
        <w:jc w:val="center"/>
        <w:rPr>
          <w:rFonts w:ascii="Times New Roman" w:hAnsi="Times New Roman"/>
          <w:color w:val="000000"/>
        </w:rPr>
      </w:pPr>
      <w:r w:rsidRPr="00981C0F">
        <w:rPr>
          <w:rFonts w:ascii="Times New Roman" w:hAnsi="Times New Roman"/>
          <w:color w:val="000000"/>
        </w:rPr>
        <w:t xml:space="preserve">Панельные ограждения </w:t>
      </w:r>
    </w:p>
    <w:p w:rsidR="005364C5" w:rsidRPr="00981C0F" w:rsidRDefault="005364C5">
      <w:pPr>
        <w:pStyle w:val="Preformat"/>
        <w:jc w:val="center"/>
        <w:rPr>
          <w:rFonts w:ascii="Times New Roman" w:hAnsi="Times New Roman"/>
          <w:color w:val="000000"/>
        </w:rPr>
      </w:pPr>
    </w:p>
    <w:p w:rsidR="005364C5" w:rsidRPr="00981C0F" w:rsidRDefault="00FE2D64">
      <w:pPr>
        <w:ind w:firstLine="225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drawing>
          <wp:inline distT="0" distB="0" distL="0" distR="0">
            <wp:extent cx="4543425" cy="1200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4C5" w:rsidRPr="00981C0F" w:rsidRDefault="005364C5">
      <w:pPr>
        <w:ind w:firstLine="180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pStyle w:val="Preformat"/>
        <w:rPr>
          <w:rFonts w:ascii="Times New Roman" w:hAnsi="Times New Roman"/>
          <w:color w:val="000000"/>
        </w:rPr>
      </w:pPr>
      <w:r w:rsidRPr="00981C0F">
        <w:rPr>
          <w:rFonts w:ascii="Times New Roman" w:hAnsi="Times New Roman"/>
          <w:color w:val="000000"/>
        </w:rPr>
        <w:t xml:space="preserve">             Панельно-стоечные ограждения                                                     Стоечные ограждения 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FE2D64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drawing>
          <wp:inline distT="0" distB="0" distL="0" distR="0">
            <wp:extent cx="5676900" cy="1019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Черт. 1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 xml:space="preserve">Ограждения с доборными элементами </w:t>
      </w:r>
    </w:p>
    <w:p w:rsidR="005364C5" w:rsidRPr="00981C0F" w:rsidRDefault="00FE2D64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drawing>
          <wp:inline distT="0" distB="0" distL="0" distR="0">
            <wp:extent cx="5210175" cy="16668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 xml:space="preserve">Черт. 2 </w:t>
      </w:r>
    </w:p>
    <w:p w:rsidR="005364C5" w:rsidRPr="00981C0F" w:rsidRDefault="005364C5">
      <w:pPr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1 - панель ограждения; 2 - подкос панели; 3 - опора (лежень); 4 - панель тротуара;</w:t>
      </w:r>
    </w:p>
    <w:p w:rsidR="005364C5" w:rsidRPr="00981C0F" w:rsidRDefault="005364C5">
      <w:pPr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 xml:space="preserve"> 5 - горизонтальный элемент перил; 6 - поручень; 7 - стойка перил; 8 - панель козырька;</w:t>
      </w:r>
    </w:p>
    <w:p w:rsidR="005364C5" w:rsidRPr="00981C0F" w:rsidRDefault="005364C5">
      <w:pPr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 xml:space="preserve"> 9 - подкос козырька; 10 - стойка ограждения; 11 - пеньковый или капроновый канат; проволока</w:t>
      </w:r>
    </w:p>
    <w:p w:rsidR="005364C5" w:rsidRPr="00981C0F" w:rsidRDefault="005364C5">
      <w:pPr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Панели ограждений могут быть сплошными и разреженными.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Защитно-охранные ограждения должны быть только сплошными.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1.3. Ограждения по исполнению подразделяются на ограждения с доборными элементами: защитным козырьком, тротуаром, перилами, подкосами (черт. 2) и ограждения без доборных элементов.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 ТЕХНИЧЕСКИЕ ТРЕБОВАНИЯ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2.1. Общие требования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2.1.1. Ограждения должны соответствовать требованиям настоящего стандарта и рабочих чертежей, утвержденных в установленном порядке, а также утвержденным образцам (эталонам).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2.1.2. В ограждениях должны предусматриваться выполняемые по типовым проектам ворота для проезда строительных и других машин и калитки для прохода людей.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 Требования к конструкции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2.2.1. Ограждения должны быть сборно-разборными с унифицированными элементами, соединениями и деталями крепления.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2.2.2. Высота панелей должна быть: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lastRenderedPageBreak/>
        <w:t>защитно-охранных (с козырьком и без козырька) ограждений территорий строительных площадок - 2,0 м;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защитных (без козырька) ограждений территорий строительных площадок - 1,6 м;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то же, с козырьком - 2,0 м;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защитных ограждений участков производства работ - 1,2 м.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Высота стоек сигнальных ограждений должна быть 0,8 м.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2.2.3. Панели ограждений должны быть прямоугольными. Длина панелей должна быть 1,2; 1,6; 2,0 м. Расстояние между стойками сигнальных ограждений не должно быть более 6,0 м.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2.2.4. В разреженных панелях ограждений (кроме сетчатых) расстояние в свету (разреженность) между деталями заполнения полотна панелей должно быть в пределах 80-100 мм.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2.2.5. Зазоры в настилах тротуаров допускаются не более 5 мм.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2.2.6. Козырьки и тротуары ограждений должны изготовляться в виде отдельных панелей прямоугольной формы. Длина панелей козырьков и тротуаров должна быть кратна длине панелей ограждений.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2.2.7. Защитный козырек должен устанавливаться по верху ограждения с подъемом к горизонту под углом 20 градусов в сторону тротуара или проезжей части.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2.2.8. Панели козырька должны обеспечивать перекрытие тротуара и выходить за его край (со стороны движения транспорта) на 50-100 мм.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2.2.9. Конструкция панелей тротуара должна обеспечивать проход для пешеходов шириной не менее 1,2 м.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2.2.10. Конструкция панелей козырьков и тротуаров должна обеспечивать сток воды с их поверхностей в процессе эксплуатации.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2.2.11. Тротуары ограждений, расположенных на участках примыкания строительной площадки к улицам и проездам, должны быть оборудованы перилами, устанавливаемыми со стороны движения транспорта.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2.2.12. Конструкция перил должна состоять из стоек, прикрепленных к верхней части ограждения или козырьку, а также поручня и промежуточного горизонтального элемента, расположенных соответственно на высоте 1,1 и 0,5 м от уровня тротуара.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Поручни должны крепиться к стойкам с внутренней стороны.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2.2.13. Технологические допуски геометрических параметров элементов ограждений должны быть не ниже 6-го класса точности по ГОСТ 21779-82.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2.2.14. Способ соединения элементов ограждения должен обеспечивать удобство их монтажа, демонтажа, прочность при эксплуатации, возможность и простоту замены при ремонте.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2.2.15. Конструкция крепления элементов ограждения должна обеспечивать возможность установки его на местности, имеющей уклон до 10% по линии установки ограждения.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2.2.16. Элементы деревянных ограждений, соприкасающиеся с грунтом, должны быть антисептированы. Металлические детали соединений и креплений должны иметь антикоррозионную защиту.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2.2.17. Ограждения должны быть окрашены в соответствии с принятым эталоном. Сигнальная окраска ограждений должна быть выполнена по ГОСТ 12.4.026-76.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2.2.18. На элементах и деталях ограждений не допускается наличие острых кромок, заусенцев и неровностей, которые могут стать причиной травматизма.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2.3. Требования устойчивости к внешним воздействиям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2.3.1. Нормативная равномерно распределенная нагрузка для тротуарных панелей должна приниматься 200 кгс/кв.м.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2.3.2. Скоростной напор ветра должен приниматься: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для ограждений, эксплуатируемых в Приморском крае, Камчатской и Сахалинской областях, на побережьях Тихого и Северного Ледовитого океанов, - 100 кгс/кв.м;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для ограждений, эксплуатируемых в других районах страны, - 35 кгс/кв.м.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2.3.3. Вес снегового покрова на 1 кв.м площади горизонтальной проекции козырька должен приниматься: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для ограждений, эксплуатируемых в Приморском крае, Камчатской и Сахалинской областях, на побережьях Тихого и Северного Ледовитого океанов, - 150 кгс/кв.м;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для ограждений, эксплуатируемых в других районах страны, - 70 кгс/кв.м.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Коэффициент перегрузки при определении расчетной снеговой нагрузки должен приниматься равным 1,25.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2.4. Требования к надежности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 xml:space="preserve">2.4.1. Срок службы элементов ограждений (кроме панелей тротуаров) - не менее 10 лет. Срок </w:t>
      </w:r>
      <w:r w:rsidRPr="00981C0F">
        <w:rPr>
          <w:rFonts w:ascii="Times New Roman" w:hAnsi="Times New Roman"/>
          <w:color w:val="000000"/>
          <w:sz w:val="20"/>
        </w:rPr>
        <w:lastRenderedPageBreak/>
        <w:t>службы панелей тротуара - не менее 5 лет.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2.5. Требования к материалам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2.5.1. Материалы, применяемые для изготовления ограждений, должны удовлетворять требованиям соответствующих стандартов или технических условий (ТУ).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2.5.2. Соответствие материалов предъявляемым требованиям должно подтверждаться сертификатами заводов-поставщиков, а при их отсутствии - данными испытаний заводской лаборатории.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2.5.3. Сплошные панели ограждений, панели козырьков и тротуаров, стойки, перила, подкосы следует изготавливать из лесоматериалов лиственных пород и хвойных не выше 3-го сорта. Металл допускается применять только для изготовления деталей соединений и креплений.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3. ПРАВИЛА ПРИЕМКИ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3.1. Элементы ограждений должны быть приняты органами технического контроля предприятия-изготовителя.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3.2. Приемка ограждений производится выборочно в количестве 5 % от партии путем внешнего осмотра элементов и проверки их размеров.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Партией считается количество однотипных элементов ограждения, изготовленных по одной технологии в течение одной смены.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3.3. Потребитель имеет право производить контрольную проверку, для чего от каждой партии отбирается 5 % элементов ограждения. В случае несоответствия хотя бы одного элемента требованиям стандарта, производится повторная проверка удвоенного количества элементов из той же партии.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При неудовлетворительных результатах проверки удвоенного количества образцов партия приемке не подлежит.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4. МЕТОДЫ КОНТРОЛЯ КАЧЕСТВА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4.1. Проверка геометрических размеров элементов и деталей ограждения должна производиться измерительным инструментом и шаблонами, обеспечивающими точность, указанную на чертежах.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4.2. Проверка цвета и качества окраски, наличия антикоррозионной защиты и антисептической пропитки производится внешним осмотром.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5. МАРКИРОВКА, УПАКОВКА,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ТРАНСПОРТИРОВАНИЕ И ХРАНЕНИЕ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5.1. Каждый элемент ограждения должен иметь маркировку, в которой указывается: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товарный знак предприятия-изготовителя;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номер партии;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дата изготовления;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масса (для элементов массой свыше 50 кг).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5.2. Способ маркировки должен быть указан в рабочих чертежах ограждений.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5.3. Однотипные элементы ограждения должны поставляться потребителю пакетами.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Габаритные размеры и масса пакетов должны обеспечивать сохранность ограждений при их транспортировании и возможность механизированной погрузки на транспортные средства и выгрузки на месте установки ограждения.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5.4. При транспортировании и хранении ограждений места монтажных соединений должны быть защищены от загрязнения, а винтовые и шарнирные соединения покрыты консервирующей смазкой.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5.5. Панели, защитные козырьки, тротуарные щиты, ворота и калитки должны храниться в вертикальном положении, а стойки, перила, лежни и подкосы должны укладываться на деревянных подкладках в штабеля высотой не более 1,5 м.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6. ГАРАНТИИ ИЗГОТОВИТЕЛЯ</w:t>
      </w:r>
    </w:p>
    <w:p w:rsidR="005364C5" w:rsidRPr="00981C0F" w:rsidRDefault="005364C5">
      <w:pPr>
        <w:pStyle w:val="Heading"/>
        <w:jc w:val="center"/>
        <w:rPr>
          <w:rFonts w:ascii="Times New Roman" w:hAnsi="Times New Roman"/>
          <w:color w:val="000000"/>
          <w:sz w:val="20"/>
        </w:rPr>
      </w:pP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 xml:space="preserve">6.1. Предприятие-изготовитель должно сопровождать каждую партию ограждений паспортом, </w:t>
      </w:r>
      <w:r w:rsidRPr="00981C0F">
        <w:rPr>
          <w:rFonts w:ascii="Times New Roman" w:hAnsi="Times New Roman"/>
          <w:color w:val="000000"/>
          <w:sz w:val="20"/>
        </w:rPr>
        <w:lastRenderedPageBreak/>
        <w:t>который содержит: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наименование и адрес предприятия-изготовителя;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номер партии;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обозначение стандарта или ТУ;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наименование, количество и массу элементов;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указания по монтажу и демонтажу ограждения (при необходимости);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дату выдачи паспорта.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  <w:r w:rsidRPr="00981C0F">
        <w:rPr>
          <w:rFonts w:ascii="Times New Roman" w:hAnsi="Times New Roman"/>
          <w:color w:val="000000"/>
          <w:sz w:val="20"/>
        </w:rPr>
        <w:t>6.2. Изготовитель гарантирует соответствие ограждений требованиям настоящего стандарта при соблюдении условий транспортирования и хранения, указанных в стандарте.</w:t>
      </w:r>
    </w:p>
    <w:p w:rsidR="005364C5" w:rsidRPr="00981C0F" w:rsidRDefault="005364C5">
      <w:pPr>
        <w:ind w:firstLine="225"/>
        <w:jc w:val="both"/>
        <w:rPr>
          <w:rFonts w:ascii="Times New Roman" w:hAnsi="Times New Roman"/>
          <w:color w:val="000000"/>
          <w:sz w:val="20"/>
        </w:rPr>
      </w:pPr>
    </w:p>
    <w:p w:rsidR="00FB5D50" w:rsidRPr="00981C0F" w:rsidRDefault="00FB5D50">
      <w:pPr>
        <w:ind w:firstLine="225"/>
        <w:jc w:val="both"/>
        <w:rPr>
          <w:rFonts w:ascii="Times New Roman" w:hAnsi="Times New Roman"/>
          <w:color w:val="FFFFFF"/>
          <w:sz w:val="20"/>
        </w:rPr>
      </w:pPr>
    </w:p>
    <w:p w:rsidR="00FB5D50" w:rsidRPr="00981C0F" w:rsidRDefault="00FB5D50">
      <w:pPr>
        <w:ind w:firstLine="225"/>
        <w:jc w:val="both"/>
        <w:rPr>
          <w:rFonts w:ascii="Times New Roman" w:hAnsi="Times New Roman"/>
          <w:color w:val="FFFFFF"/>
          <w:sz w:val="20"/>
        </w:rPr>
      </w:pPr>
    </w:p>
    <w:p w:rsidR="00FB5D50" w:rsidRPr="00981C0F" w:rsidRDefault="00FB5D50" w:rsidP="00FB5D50">
      <w:pPr>
        <w:ind w:firstLine="225"/>
        <w:jc w:val="both"/>
        <w:rPr>
          <w:rFonts w:ascii="Times New Roman" w:hAnsi="Times New Roman"/>
          <w:color w:val="FFFFFF"/>
          <w:sz w:val="20"/>
        </w:rPr>
      </w:pPr>
      <w:r w:rsidRPr="00981C0F">
        <w:rPr>
          <w:rFonts w:ascii="Times New Roman" w:hAnsi="Times New Roman"/>
          <w:color w:val="FFFFFF"/>
          <w:sz w:val="20"/>
        </w:rPr>
        <w:t>http://ppr48.ru/services/ppr-preparatory-work</w:t>
      </w:r>
    </w:p>
    <w:p w:rsidR="00FB5D50" w:rsidRPr="00981C0F" w:rsidRDefault="00FB5D50" w:rsidP="00FB5D50">
      <w:pPr>
        <w:ind w:firstLine="225"/>
        <w:jc w:val="both"/>
        <w:rPr>
          <w:rFonts w:ascii="Times New Roman" w:hAnsi="Times New Roman"/>
          <w:color w:val="FFFFFF"/>
          <w:sz w:val="20"/>
        </w:rPr>
      </w:pPr>
    </w:p>
    <w:p w:rsidR="00FB5D50" w:rsidRPr="00981C0F" w:rsidRDefault="00FB5D50" w:rsidP="00FB5D50">
      <w:pPr>
        <w:ind w:firstLine="225"/>
        <w:jc w:val="both"/>
        <w:rPr>
          <w:rFonts w:ascii="Times New Roman" w:hAnsi="Times New Roman"/>
          <w:color w:val="FFFFFF"/>
          <w:sz w:val="20"/>
        </w:rPr>
      </w:pPr>
      <w:r w:rsidRPr="00981C0F">
        <w:rPr>
          <w:rFonts w:ascii="Times New Roman" w:hAnsi="Times New Roman"/>
          <w:color w:val="FFFFFF"/>
          <w:sz w:val="20"/>
        </w:rPr>
        <w:t>ppr48.ru</w:t>
      </w:r>
    </w:p>
    <w:sectPr w:rsidR="00FB5D50" w:rsidRPr="00981C0F">
      <w:headerReference w:type="default" r:id="rId9"/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333" w:rsidRDefault="00B16333">
      <w:r>
        <w:separator/>
      </w:r>
    </w:p>
  </w:endnote>
  <w:endnote w:type="continuationSeparator" w:id="1">
    <w:p w:rsidR="00B16333" w:rsidRDefault="00B16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333" w:rsidRDefault="00B16333">
      <w:r>
        <w:separator/>
      </w:r>
    </w:p>
  </w:footnote>
  <w:footnote w:type="continuationSeparator" w:id="1">
    <w:p w:rsidR="00B16333" w:rsidRDefault="00B16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4C5" w:rsidRDefault="005364C5">
    <w:pPr>
      <w:pStyle w:val="a4"/>
      <w:jc w:val="center"/>
    </w:pPr>
  </w:p>
  <w:p w:rsidR="005364C5" w:rsidRDefault="005364C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361"/>
    <w:rsid w:val="00243361"/>
    <w:rsid w:val="005364C5"/>
    <w:rsid w:val="00981C0F"/>
    <w:rsid w:val="00B16333"/>
    <w:rsid w:val="00FB5D50"/>
    <w:rsid w:val="00FE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</w:pPr>
    <w:rPr>
      <w:rFonts w:ascii="Courier New" w:hAnsi="Courier New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23407-78</vt:lpstr>
    </vt:vector>
  </TitlesOfParts>
  <Manager>ppr48.ru</Manager>
  <Company>ppr48.ru</Company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ппр на монтаж ограждения</dc:title>
  <dc:subject>ппр на установку ограждений</dc:subject>
  <dc:creator>http://ppr48.ru/services/ppr-preparatory-work</dc:creator>
  <cp:keywords>ппр на монтаж ограждения_x000d_
ппр на установку ограждений_x000d_
ппр на временное ограждение_x000d_
проект производства работ ограждение_x000d_
проект производства работ монтажа ограждени</cp:keywords>
  <dc:description>ппр на монтаж ограждения_x000d_
ппр на установку ограждений_x000d_
ппр на временное ограждение_x000d_
проект производства работ ограждение_x000d_
проект производства работ монтажа ограждения</dc:description>
  <cp:lastModifiedBy>Interion</cp:lastModifiedBy>
  <cp:revision>2</cp:revision>
  <dcterms:created xsi:type="dcterms:W3CDTF">2022-03-10T00:25:00Z</dcterms:created>
  <dcterms:modified xsi:type="dcterms:W3CDTF">2022-03-10T00:25:00Z</dcterms:modified>
  <cp:category>ппр на временное ограждение</cp:category>
</cp:coreProperties>
</file>